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48589" w14:textId="592488C3" w:rsidR="00085640" w:rsidRDefault="00792345" w:rsidP="0097311E">
      <w:pPr>
        <w:jc w:val="center"/>
      </w:pPr>
      <w:r>
        <w:t>Classe :</w:t>
      </w:r>
      <w:r w:rsidR="007317FF">
        <w:t xml:space="preserve"> </w:t>
      </w:r>
      <w:r>
        <w:t>4</w:t>
      </w:r>
      <w:r>
        <w:rPr>
          <w:vertAlign w:val="superscript"/>
        </w:rPr>
        <w:t>ème</w:t>
      </w:r>
      <w:r>
        <w:t xml:space="preserve"> </w:t>
      </w:r>
      <w:r>
        <w:tab/>
      </w:r>
      <w:r>
        <w:tab/>
      </w:r>
      <w:r>
        <w:tab/>
      </w:r>
      <w:r>
        <w:tab/>
      </w:r>
      <w:r>
        <w:rPr>
          <w:b/>
          <w:u w:val="single"/>
        </w:rPr>
        <w:t>Scénario Pédagogique</w:t>
      </w:r>
      <w:r>
        <w:t xml:space="preserve"> </w:t>
      </w:r>
      <w:r>
        <w:tab/>
      </w:r>
      <w:r>
        <w:tab/>
      </w:r>
      <w:r>
        <w:tab/>
      </w:r>
      <w:r>
        <w:tab/>
        <w:t xml:space="preserve">Durée : </w:t>
      </w:r>
      <w:r w:rsidR="00574CE2">
        <w:t xml:space="preserve">trois </w:t>
      </w:r>
      <w:r>
        <w:t xml:space="preserve">semaines – </w:t>
      </w:r>
      <w:r w:rsidR="00574CE2">
        <w:t>Cinq s</w:t>
      </w:r>
      <w:r>
        <w:t>éances d’</w:t>
      </w:r>
      <w:r w:rsidR="007317FF">
        <w:t>une heure</w:t>
      </w:r>
      <w:r>
        <w:t>.</w:t>
      </w:r>
    </w:p>
    <w:p w14:paraId="47DE0C3D" w14:textId="77777777" w:rsidR="00085640" w:rsidRDefault="00085640"/>
    <w:p w14:paraId="0A49272D" w14:textId="2DEBEEB5" w:rsidR="00085640" w:rsidRDefault="00085640">
      <w:pPr>
        <w:rPr>
          <w:i/>
          <w:iCs/>
        </w:rPr>
      </w:pPr>
      <w:r>
        <w:rPr>
          <w:i/>
          <w:iCs/>
        </w:rPr>
        <w:t>La mise en place d’un plan de travail entraine de nombreux avantages et quelques contraintes</w:t>
      </w:r>
      <w:r w:rsidR="007317FF">
        <w:rPr>
          <w:i/>
          <w:iCs/>
        </w:rPr>
        <w:t xml:space="preserve">. Ci-dessous </w:t>
      </w:r>
      <w:r>
        <w:rPr>
          <w:i/>
          <w:iCs/>
        </w:rPr>
        <w:t>quelques</w:t>
      </w:r>
      <w:r w:rsidR="007317FF">
        <w:rPr>
          <w:i/>
          <w:iCs/>
        </w:rPr>
        <w:t xml:space="preserve"> points d’attention</w:t>
      </w:r>
      <w:r>
        <w:rPr>
          <w:i/>
          <w:iCs/>
        </w:rPr>
        <w:t> </w:t>
      </w:r>
      <w:r w:rsidR="00C10463">
        <w:rPr>
          <w:i/>
          <w:iCs/>
        </w:rPr>
        <w:t>sont présentés.</w:t>
      </w:r>
    </w:p>
    <w:p w14:paraId="4020718C" w14:textId="6EA88770" w:rsidR="00085640" w:rsidRDefault="00085640" w:rsidP="00574CE2">
      <w:pPr>
        <w:pStyle w:val="Paragraphedeliste"/>
        <w:numPr>
          <w:ilvl w:val="0"/>
          <w:numId w:val="5"/>
        </w:numPr>
        <w:jc w:val="both"/>
        <w:rPr>
          <w:i/>
          <w:iCs/>
        </w:rPr>
      </w:pPr>
      <w:r>
        <w:rPr>
          <w:i/>
          <w:iCs/>
        </w:rPr>
        <w:t>La préparation</w:t>
      </w:r>
      <w:r w:rsidR="00745A0B">
        <w:rPr>
          <w:i/>
          <w:iCs/>
        </w:rPr>
        <w:t xml:space="preserve"> du matériel doit être effectuée</w:t>
      </w:r>
      <w:r>
        <w:rPr>
          <w:i/>
          <w:iCs/>
        </w:rPr>
        <w:t xml:space="preserve"> en amont de la première séance</w:t>
      </w:r>
      <w:r w:rsidR="00745A0B">
        <w:rPr>
          <w:i/>
          <w:iCs/>
        </w:rPr>
        <w:t xml:space="preserve"> et</w:t>
      </w:r>
      <w:r>
        <w:rPr>
          <w:i/>
          <w:iCs/>
        </w:rPr>
        <w:t xml:space="preserve"> </w:t>
      </w:r>
      <w:r w:rsidR="007317FF">
        <w:rPr>
          <w:i/>
          <w:iCs/>
        </w:rPr>
        <w:t>peut être</w:t>
      </w:r>
      <w:r>
        <w:rPr>
          <w:i/>
          <w:iCs/>
        </w:rPr>
        <w:t xml:space="preserve"> assez conséquente</w:t>
      </w:r>
      <w:r w:rsidR="004332C3">
        <w:rPr>
          <w:i/>
          <w:iCs/>
        </w:rPr>
        <w:t>.</w:t>
      </w:r>
    </w:p>
    <w:p w14:paraId="270A8B0C" w14:textId="79EB4B92" w:rsidR="00085640" w:rsidRDefault="00085640" w:rsidP="00574CE2">
      <w:pPr>
        <w:pStyle w:val="Paragraphedeliste"/>
        <w:numPr>
          <w:ilvl w:val="0"/>
          <w:numId w:val="5"/>
        </w:numPr>
        <w:jc w:val="both"/>
        <w:rPr>
          <w:i/>
          <w:iCs/>
        </w:rPr>
      </w:pPr>
      <w:r>
        <w:rPr>
          <w:i/>
          <w:iCs/>
        </w:rPr>
        <w:t>L’organisation de l’espace de travail est à réfléchir</w:t>
      </w:r>
      <w:r w:rsidR="00C10463">
        <w:rPr>
          <w:i/>
          <w:iCs/>
        </w:rPr>
        <w:t xml:space="preserve"> : </w:t>
      </w:r>
      <w:r>
        <w:rPr>
          <w:i/>
          <w:iCs/>
        </w:rPr>
        <w:t>disposition des tables, nombre de postes de manipulation</w:t>
      </w:r>
      <w:r w:rsidR="00C10463">
        <w:rPr>
          <w:i/>
          <w:iCs/>
        </w:rPr>
        <w:t xml:space="preserve"> et </w:t>
      </w:r>
      <w:r>
        <w:rPr>
          <w:i/>
          <w:iCs/>
        </w:rPr>
        <w:t>mise à disposition des outils numérique</w:t>
      </w:r>
      <w:r w:rsidR="00C10463">
        <w:rPr>
          <w:i/>
          <w:iCs/>
        </w:rPr>
        <w:t>. E</w:t>
      </w:r>
      <w:r w:rsidR="00745A0B">
        <w:rPr>
          <w:i/>
          <w:iCs/>
        </w:rPr>
        <w:t>lle peut permettre de proposer certaines expériences aux élèves malgré une quantité de matériel limité</w:t>
      </w:r>
      <w:r w:rsidR="004332C3">
        <w:rPr>
          <w:i/>
          <w:iCs/>
        </w:rPr>
        <w:t>e.</w:t>
      </w:r>
    </w:p>
    <w:p w14:paraId="1B375C90" w14:textId="16EE4A66" w:rsidR="00745A0B" w:rsidRDefault="00745A0B" w:rsidP="00574CE2">
      <w:pPr>
        <w:pStyle w:val="Paragraphedeliste"/>
        <w:numPr>
          <w:ilvl w:val="0"/>
          <w:numId w:val="5"/>
        </w:numPr>
        <w:jc w:val="both"/>
        <w:rPr>
          <w:i/>
          <w:iCs/>
        </w:rPr>
      </w:pPr>
      <w:r>
        <w:rPr>
          <w:i/>
          <w:iCs/>
        </w:rPr>
        <w:t>L’autonomie concernant le processus d’évaluation est importante. Il est possible de choisir quelles seront les activités évaluées</w:t>
      </w:r>
      <w:r w:rsidR="00682A2E">
        <w:rPr>
          <w:i/>
          <w:iCs/>
        </w:rPr>
        <w:t xml:space="preserve"> ou</w:t>
      </w:r>
      <w:r>
        <w:rPr>
          <w:i/>
          <w:iCs/>
        </w:rPr>
        <w:t xml:space="preserve"> de laisser le choix aux élèves de(s) activité(s) évaluée(s)</w:t>
      </w:r>
      <w:r w:rsidR="00682A2E">
        <w:rPr>
          <w:i/>
          <w:iCs/>
        </w:rPr>
        <w:t>.</w:t>
      </w:r>
      <w:r w:rsidR="007317FF">
        <w:rPr>
          <w:i/>
          <w:iCs/>
        </w:rPr>
        <w:t>, en imposant un minimum par exemple.</w:t>
      </w:r>
    </w:p>
    <w:p w14:paraId="47EFA5C3" w14:textId="73363995" w:rsidR="00682A2E" w:rsidRDefault="00682A2E" w:rsidP="00574CE2">
      <w:pPr>
        <w:pStyle w:val="Paragraphedeliste"/>
        <w:numPr>
          <w:ilvl w:val="0"/>
          <w:numId w:val="5"/>
        </w:numPr>
        <w:jc w:val="both"/>
        <w:rPr>
          <w:i/>
          <w:iCs/>
        </w:rPr>
      </w:pPr>
      <w:r>
        <w:rPr>
          <w:i/>
          <w:iCs/>
        </w:rPr>
        <w:t>Le contrôle de l’avancé</w:t>
      </w:r>
      <w:r w:rsidR="007317FF">
        <w:rPr>
          <w:i/>
          <w:iCs/>
        </w:rPr>
        <w:t>e</w:t>
      </w:r>
      <w:r>
        <w:rPr>
          <w:i/>
          <w:iCs/>
        </w:rPr>
        <w:t xml:space="preserve"> du travail des élèves peut être fait en dema</w:t>
      </w:r>
      <w:bookmarkStart w:id="0" w:name="_GoBack"/>
      <w:bookmarkEnd w:id="0"/>
      <w:r>
        <w:rPr>
          <w:i/>
          <w:iCs/>
        </w:rPr>
        <w:t>ndant aux élèves de signaler à l’enseignant chaque fin d’activité. Ce dernier s’assurera que les élèves se sont engagés dans la production des bilans.</w:t>
      </w:r>
      <w:r w:rsidR="004332C3">
        <w:rPr>
          <w:i/>
          <w:iCs/>
        </w:rPr>
        <w:t xml:space="preserve"> Les élèves complètent </w:t>
      </w:r>
      <w:r w:rsidR="00C10463">
        <w:rPr>
          <w:i/>
          <w:iCs/>
        </w:rPr>
        <w:t xml:space="preserve">les items correspondant à </w:t>
      </w:r>
      <w:r w:rsidR="004332C3">
        <w:rPr>
          <w:i/>
          <w:iCs/>
        </w:rPr>
        <w:t>« Ce que j’ai compris »</w:t>
      </w:r>
      <w:r w:rsidR="00C10463">
        <w:rPr>
          <w:i/>
          <w:iCs/>
        </w:rPr>
        <w:t>.</w:t>
      </w:r>
    </w:p>
    <w:p w14:paraId="27C5900F" w14:textId="59F3CE05" w:rsidR="004332C3" w:rsidRDefault="004332C3" w:rsidP="00574CE2">
      <w:pPr>
        <w:pStyle w:val="Paragraphedeliste"/>
        <w:numPr>
          <w:ilvl w:val="0"/>
          <w:numId w:val="5"/>
        </w:numPr>
        <w:jc w:val="both"/>
        <w:rPr>
          <w:i/>
          <w:iCs/>
        </w:rPr>
      </w:pPr>
      <w:r>
        <w:rPr>
          <w:i/>
          <w:iCs/>
        </w:rPr>
        <w:t>En fin de séquence, l’enseignant transmet</w:t>
      </w:r>
      <w:r w:rsidR="00706ECF">
        <w:rPr>
          <w:i/>
          <w:iCs/>
        </w:rPr>
        <w:t>/projette les « Ce qu’il faut retenir »</w:t>
      </w:r>
      <w:proofErr w:type="gramStart"/>
      <w:r w:rsidR="00C10463">
        <w:rPr>
          <w:i/>
          <w:iCs/>
        </w:rPr>
        <w:t xml:space="preserve">. </w:t>
      </w:r>
      <w:proofErr w:type="gramEnd"/>
      <w:r w:rsidR="00C10463">
        <w:rPr>
          <w:i/>
          <w:iCs/>
        </w:rPr>
        <w:t>L</w:t>
      </w:r>
      <w:r w:rsidR="00706ECF">
        <w:rPr>
          <w:i/>
          <w:iCs/>
        </w:rPr>
        <w:t>es élèves les reprennent s’ils sont différents des « Ce que j’ai compris »</w:t>
      </w:r>
    </w:p>
    <w:p w14:paraId="5DCBA6A1" w14:textId="47753A2C" w:rsidR="00682A2E" w:rsidRDefault="00682A2E" w:rsidP="00574CE2">
      <w:pPr>
        <w:pStyle w:val="Paragraphedeliste"/>
        <w:numPr>
          <w:ilvl w:val="0"/>
          <w:numId w:val="5"/>
        </w:numPr>
        <w:jc w:val="both"/>
        <w:rPr>
          <w:i/>
          <w:iCs/>
        </w:rPr>
      </w:pPr>
      <w:r>
        <w:rPr>
          <w:i/>
          <w:iCs/>
        </w:rPr>
        <w:t xml:space="preserve">Les </w:t>
      </w:r>
      <w:r w:rsidR="00C10463">
        <w:rPr>
          <w:i/>
          <w:iCs/>
        </w:rPr>
        <w:t xml:space="preserve">« coups de pouce » </w:t>
      </w:r>
      <w:r w:rsidR="00EC79AF">
        <w:rPr>
          <w:i/>
          <w:iCs/>
        </w:rPr>
        <w:t>sont proposés pour simplifier l’accompagnement de l’enseignement. Ils portent sur des difficultés fréquemment rencontrées par les élèves.</w:t>
      </w:r>
    </w:p>
    <w:p w14:paraId="0513A138" w14:textId="1CEAC7CB" w:rsidR="00706ECF" w:rsidRDefault="00706ECF" w:rsidP="00574CE2">
      <w:pPr>
        <w:pStyle w:val="Paragraphedeliste"/>
        <w:numPr>
          <w:ilvl w:val="0"/>
          <w:numId w:val="5"/>
        </w:numPr>
        <w:jc w:val="both"/>
        <w:rPr>
          <w:i/>
          <w:iCs/>
        </w:rPr>
      </w:pPr>
      <w:r>
        <w:rPr>
          <w:i/>
          <w:iCs/>
        </w:rPr>
        <w:t>L’évaluation sommative proposée (Radar de recul) débute par un temps d’appropriation des documents 1 et 2 de l’exercice 1 en binôme. Ensuite de f</w:t>
      </w:r>
      <w:r w:rsidR="002B3410">
        <w:rPr>
          <w:i/>
          <w:iCs/>
        </w:rPr>
        <w:t>açon plus classique, l’énoncé est transmis et les élèves travaillent individuellement.</w:t>
      </w:r>
    </w:p>
    <w:p w14:paraId="06E18705" w14:textId="28D18E34" w:rsidR="00122E0A" w:rsidRDefault="00792345">
      <w:r>
        <w:t xml:space="preserve">                         </w:t>
      </w:r>
      <w:r>
        <w:tab/>
      </w:r>
      <w:r>
        <w:tab/>
      </w:r>
      <w:r>
        <w:tab/>
        <w:t xml:space="preserve">  </w:t>
      </w:r>
    </w:p>
    <w:tbl>
      <w:tblPr>
        <w:tblStyle w:val="Grilledutableau"/>
        <w:tblpPr w:leftFromText="141" w:rightFromText="141" w:vertAnchor="text" w:tblpY="170"/>
        <w:tblW w:w="15807" w:type="dxa"/>
        <w:tblLook w:val="04A0" w:firstRow="1" w:lastRow="0" w:firstColumn="1" w:lastColumn="0" w:noHBand="0" w:noVBand="1"/>
      </w:tblPr>
      <w:tblGrid>
        <w:gridCol w:w="1843"/>
        <w:gridCol w:w="13964"/>
      </w:tblGrid>
      <w:tr w:rsidR="00122E0A" w14:paraId="5E4A9DC1" w14:textId="77777777" w:rsidTr="00912129">
        <w:trPr>
          <w:trHeight w:val="512"/>
        </w:trPr>
        <w:tc>
          <w:tcPr>
            <w:tcW w:w="1843" w:type="dxa"/>
            <w:shd w:val="clear" w:color="auto" w:fill="DBE5F1" w:themeFill="accent1" w:themeFillTint="33"/>
          </w:tcPr>
          <w:p w14:paraId="15059107" w14:textId="77777777" w:rsidR="00122E0A" w:rsidRDefault="00792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Objectifs</w:t>
            </w:r>
          </w:p>
        </w:tc>
        <w:tc>
          <w:tcPr>
            <w:tcW w:w="13964" w:type="dxa"/>
          </w:tcPr>
          <w:p w14:paraId="11997497" w14:textId="77777777" w:rsidR="00122E0A" w:rsidRDefault="00792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Décrire les conditions de propagation d’un son</w:t>
            </w:r>
          </w:p>
          <w:p w14:paraId="410BF852" w14:textId="77777777" w:rsidR="00122E0A" w:rsidRDefault="00792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Relier la distance parcourue par un son à la durée de propagation : Vitesse de propagation</w:t>
            </w:r>
          </w:p>
          <w:p w14:paraId="471A7D6D" w14:textId="79537C9D" w:rsidR="00A5171A" w:rsidRDefault="00A51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Notion de fréquence : sons audibles, infrasons et ultrasons</w:t>
            </w:r>
          </w:p>
        </w:tc>
      </w:tr>
      <w:tr w:rsidR="00122E0A" w14:paraId="10DCC2EC" w14:textId="77777777" w:rsidTr="00912129">
        <w:trPr>
          <w:trHeight w:val="477"/>
        </w:trPr>
        <w:tc>
          <w:tcPr>
            <w:tcW w:w="1843" w:type="dxa"/>
            <w:shd w:val="clear" w:color="auto" w:fill="DBE5F1" w:themeFill="accent1" w:themeFillTint="33"/>
          </w:tcPr>
          <w:p w14:paraId="6F92E92D" w14:textId="77777777" w:rsidR="00122E0A" w:rsidRDefault="00792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Compétences</w:t>
            </w:r>
          </w:p>
        </w:tc>
        <w:tc>
          <w:tcPr>
            <w:tcW w:w="13964" w:type="dxa"/>
          </w:tcPr>
          <w:p w14:paraId="72084B0C" w14:textId="77777777" w:rsidR="00122E0A" w:rsidRDefault="00792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Passer d’une forme de langage scientifique à un autre</w:t>
            </w:r>
          </w:p>
          <w:p w14:paraId="4333F42F" w14:textId="77777777" w:rsidR="00122E0A" w:rsidRDefault="00792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Lire, comprendre des documents scientifiques</w:t>
            </w:r>
          </w:p>
          <w:p w14:paraId="3B2B8D69" w14:textId="77777777" w:rsidR="00122E0A" w:rsidRDefault="00792345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Développer des modèles simples pour expliquer des faits d’observations</w:t>
            </w:r>
          </w:p>
        </w:tc>
      </w:tr>
      <w:tr w:rsidR="00122E0A" w14:paraId="02E7B5E2" w14:textId="77777777" w:rsidTr="00912129">
        <w:trPr>
          <w:trHeight w:val="545"/>
        </w:trPr>
        <w:tc>
          <w:tcPr>
            <w:tcW w:w="1843" w:type="dxa"/>
            <w:shd w:val="clear" w:color="auto" w:fill="DBE5F1" w:themeFill="accent1" w:themeFillTint="33"/>
          </w:tcPr>
          <w:p w14:paraId="002EA00B" w14:textId="77777777" w:rsidR="00122E0A" w:rsidRDefault="00792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Prérequis</w:t>
            </w:r>
          </w:p>
        </w:tc>
        <w:tc>
          <w:tcPr>
            <w:tcW w:w="13964" w:type="dxa"/>
          </w:tcPr>
          <w:p w14:paraId="05371FDD" w14:textId="77777777" w:rsidR="00122E0A" w:rsidRDefault="00792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son en cycle 3</w:t>
            </w:r>
          </w:p>
          <w:p w14:paraId="17BE8457" w14:textId="5686F96F" w:rsidR="001F3FDA" w:rsidRDefault="001F3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modélisation des états (notion de molécule)</w:t>
            </w:r>
          </w:p>
        </w:tc>
      </w:tr>
    </w:tbl>
    <w:p w14:paraId="0682B23C" w14:textId="79CB33B0" w:rsidR="00122E0A" w:rsidRDefault="00122E0A"/>
    <w:p w14:paraId="767459E4" w14:textId="68A96D25" w:rsidR="00B3349F" w:rsidRDefault="00B3349F"/>
    <w:p w14:paraId="46CD253E" w14:textId="1507677C" w:rsidR="00574CE2" w:rsidRDefault="00574CE2">
      <w:r>
        <w:br w:type="page"/>
      </w:r>
    </w:p>
    <w:p w14:paraId="6342728C" w14:textId="77777777" w:rsidR="00B3349F" w:rsidRDefault="00B3349F"/>
    <w:tbl>
      <w:tblPr>
        <w:tblStyle w:val="Grilledutableau"/>
        <w:tblW w:w="15764" w:type="dxa"/>
        <w:tblInd w:w="-34" w:type="dxa"/>
        <w:tblLook w:val="04A0" w:firstRow="1" w:lastRow="0" w:firstColumn="1" w:lastColumn="0" w:noHBand="0" w:noVBand="1"/>
      </w:tblPr>
      <w:tblGrid>
        <w:gridCol w:w="2942"/>
        <w:gridCol w:w="932"/>
        <w:gridCol w:w="2676"/>
        <w:gridCol w:w="2977"/>
        <w:gridCol w:w="3543"/>
        <w:gridCol w:w="2694"/>
      </w:tblGrid>
      <w:tr w:rsidR="003732C2" w14:paraId="078A015A" w14:textId="77777777" w:rsidTr="00B3349F">
        <w:trPr>
          <w:trHeight w:val="639"/>
        </w:trPr>
        <w:tc>
          <w:tcPr>
            <w:tcW w:w="2942" w:type="dxa"/>
            <w:shd w:val="clear" w:color="auto" w:fill="DBE5F1" w:themeFill="accent1" w:themeFillTint="33"/>
            <w:vAlign w:val="center"/>
          </w:tcPr>
          <w:p w14:paraId="5EFC65B0" w14:textId="77777777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Déroulement de la séance</w:t>
            </w:r>
          </w:p>
        </w:tc>
        <w:tc>
          <w:tcPr>
            <w:tcW w:w="932" w:type="dxa"/>
            <w:shd w:val="clear" w:color="auto" w:fill="DBE5F1" w:themeFill="accent1" w:themeFillTint="33"/>
            <w:vAlign w:val="center"/>
          </w:tcPr>
          <w:p w14:paraId="13D5EC21" w14:textId="77777777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</w:t>
            </w:r>
          </w:p>
        </w:tc>
        <w:tc>
          <w:tcPr>
            <w:tcW w:w="2676" w:type="dxa"/>
            <w:shd w:val="clear" w:color="auto" w:fill="DBE5F1" w:themeFill="accent1" w:themeFillTint="33"/>
            <w:vAlign w:val="center"/>
          </w:tcPr>
          <w:p w14:paraId="10D063A4" w14:textId="77777777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Actions du professeur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258B4027" w14:textId="77777777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Action des élèves</w:t>
            </w:r>
          </w:p>
        </w:tc>
        <w:tc>
          <w:tcPr>
            <w:tcW w:w="3543" w:type="dxa"/>
            <w:shd w:val="clear" w:color="auto" w:fill="DBE5F1" w:themeFill="accent1" w:themeFillTint="33"/>
            <w:vAlign w:val="center"/>
          </w:tcPr>
          <w:p w14:paraId="6A28ED22" w14:textId="7A704AC5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Points de vigilance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14:paraId="3F1E30CE" w14:textId="77777777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Matériel</w:t>
            </w:r>
          </w:p>
        </w:tc>
      </w:tr>
      <w:tr w:rsidR="003732C2" w14:paraId="3C8BF647" w14:textId="77777777" w:rsidTr="00B3349F">
        <w:trPr>
          <w:trHeight w:val="639"/>
        </w:trPr>
        <w:tc>
          <w:tcPr>
            <w:tcW w:w="2942" w:type="dxa"/>
            <w:vAlign w:val="center"/>
          </w:tcPr>
          <w:p w14:paraId="54627BF0" w14:textId="77777777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Distribution de la feuille de route et présentation du chapitre et de la méthode de fonctionnement</w:t>
            </w:r>
          </w:p>
        </w:tc>
        <w:tc>
          <w:tcPr>
            <w:tcW w:w="932" w:type="dxa"/>
            <w:vAlign w:val="center"/>
          </w:tcPr>
          <w:p w14:paraId="61398066" w14:textId="77777777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min</w:t>
            </w:r>
          </w:p>
        </w:tc>
        <w:tc>
          <w:tcPr>
            <w:tcW w:w="2676" w:type="dxa"/>
            <w:vAlign w:val="center"/>
          </w:tcPr>
          <w:p w14:paraId="75FFBD91" w14:textId="44AC4496" w:rsidR="003732C2" w:rsidRPr="003A5730" w:rsidRDefault="00AC2245" w:rsidP="003A5730">
            <w:pPr>
              <w:rPr>
                <w:sz w:val="20"/>
                <w:szCs w:val="20"/>
              </w:rPr>
            </w:pPr>
            <w:r w:rsidRPr="003A5730">
              <w:rPr>
                <w:sz w:val="20"/>
                <w:szCs w:val="20"/>
              </w:rPr>
              <w:t>Donner le principe de fonctionnement du plan de travail : liberté ordre des activité</w:t>
            </w:r>
            <w:r w:rsidR="000514AC" w:rsidRPr="003A5730">
              <w:rPr>
                <w:sz w:val="20"/>
                <w:szCs w:val="20"/>
              </w:rPr>
              <w:t>s</w:t>
            </w:r>
            <w:r w:rsidRPr="003A5730">
              <w:rPr>
                <w:sz w:val="20"/>
                <w:szCs w:val="20"/>
              </w:rPr>
              <w:t xml:space="preserve"> et constitution des groupes</w:t>
            </w:r>
          </w:p>
        </w:tc>
        <w:tc>
          <w:tcPr>
            <w:tcW w:w="2977" w:type="dxa"/>
            <w:vAlign w:val="center"/>
          </w:tcPr>
          <w:p w14:paraId="6F184ED2" w14:textId="77777777" w:rsidR="003732C2" w:rsidRDefault="003732C2" w:rsidP="007317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Marquer leur nom sur la feuille de route pour ne pas la perdre. Choisir ce qu’ils vont faire durant la séance. Choisir s’ils veulent travailler en groupe ou seul.</w:t>
            </w:r>
          </w:p>
        </w:tc>
        <w:tc>
          <w:tcPr>
            <w:tcW w:w="3543" w:type="dxa"/>
            <w:vAlign w:val="center"/>
          </w:tcPr>
          <w:p w14:paraId="1ABB4ED5" w14:textId="77777777" w:rsidR="003732C2" w:rsidRPr="00574CE2" w:rsidRDefault="003732C2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Stratégie de travail à élaborer (par quelle activité commencer ?)</w:t>
            </w:r>
          </w:p>
          <w:p w14:paraId="60E5EA0F" w14:textId="77777777" w:rsidR="003732C2" w:rsidRPr="00574CE2" w:rsidRDefault="003732C2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Constitution des groupes</w:t>
            </w:r>
          </w:p>
          <w:p w14:paraId="18F59653" w14:textId="77777777" w:rsidR="003732C2" w:rsidRPr="00574CE2" w:rsidRDefault="003732C2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Rapidité de mise en activité</w:t>
            </w:r>
          </w:p>
          <w:p w14:paraId="1294C4E7" w14:textId="75CDD7DF" w:rsidR="00AF12E8" w:rsidRPr="00574CE2" w:rsidRDefault="00AF12E8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Evaluation formatrice possible de chaque activité/</w:t>
            </w:r>
            <w:r w:rsidR="00EC79AF" w:rsidRPr="00574CE2">
              <w:rPr>
                <w:sz w:val="20"/>
                <w:szCs w:val="20"/>
              </w:rPr>
              <w:t>exercice</w:t>
            </w:r>
          </w:p>
        </w:tc>
        <w:tc>
          <w:tcPr>
            <w:tcW w:w="2694" w:type="dxa"/>
            <w:vAlign w:val="center"/>
          </w:tcPr>
          <w:p w14:paraId="70529A12" w14:textId="395161CB" w:rsidR="003732C2" w:rsidRPr="007317FF" w:rsidRDefault="003732C2" w:rsidP="007317FF">
            <w:pPr>
              <w:rPr>
                <w:sz w:val="20"/>
                <w:szCs w:val="20"/>
              </w:rPr>
            </w:pPr>
            <w:r w:rsidRPr="007317FF">
              <w:rPr>
                <w:sz w:val="20"/>
                <w:szCs w:val="20"/>
              </w:rPr>
              <w:t>Photocopies de la feuille de route et de toutes les activités déjà prêtes et disposées dans un classeur devant la classe</w:t>
            </w:r>
          </w:p>
        </w:tc>
      </w:tr>
      <w:tr w:rsidR="003732C2" w14:paraId="0BE7EEBB" w14:textId="77777777" w:rsidTr="00B3349F">
        <w:trPr>
          <w:trHeight w:val="639"/>
        </w:trPr>
        <w:tc>
          <w:tcPr>
            <w:tcW w:w="2942" w:type="dxa"/>
            <w:vAlign w:val="center"/>
          </w:tcPr>
          <w:p w14:paraId="6073DEC7" w14:textId="7287371C" w:rsidR="003732C2" w:rsidRDefault="00373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Activité « Y-a-t-il des sons que l’oreille humaine n’entend pas</w:t>
            </w:r>
            <w:r w:rsidR="0092413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?»</w:t>
            </w:r>
          </w:p>
        </w:tc>
        <w:tc>
          <w:tcPr>
            <w:tcW w:w="932" w:type="dxa"/>
            <w:vAlign w:val="center"/>
          </w:tcPr>
          <w:p w14:paraId="58366217" w14:textId="25C5EF12" w:rsidR="003732C2" w:rsidRPr="003A5730" w:rsidRDefault="00C10463">
            <w:pPr>
              <w:jc w:val="center"/>
              <w:rPr>
                <w:sz w:val="20"/>
                <w:szCs w:val="20"/>
              </w:rPr>
            </w:pPr>
            <w:r w:rsidRPr="003A5730">
              <w:rPr>
                <w:sz w:val="20"/>
                <w:szCs w:val="20"/>
              </w:rPr>
              <w:t>20</w:t>
            </w:r>
            <w:r w:rsidR="003732C2" w:rsidRPr="003A5730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2676" w:type="dxa"/>
            <w:vAlign w:val="center"/>
          </w:tcPr>
          <w:p w14:paraId="08CC3C0E" w14:textId="03E0AD1D" w:rsidR="003732C2" w:rsidRDefault="003732C2" w:rsidP="003A5730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Choisir </w:t>
            </w:r>
            <w:r w:rsidR="003A5730">
              <w:rPr>
                <w:sz w:val="20"/>
                <w:szCs w:val="20"/>
              </w:rPr>
              <w:t>un logiciel disponible</w:t>
            </w:r>
          </w:p>
          <w:p w14:paraId="1E28A18E" w14:textId="5CC6E16C" w:rsidR="003732C2" w:rsidRDefault="003732C2" w:rsidP="007317FF">
            <w:pPr>
              <w:pStyle w:val="Paragraphedeliste"/>
              <w:ind w:left="152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99174BC" w14:textId="77777777" w:rsidR="003732C2" w:rsidRPr="00574CE2" w:rsidRDefault="00AC224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Activité expérimentale</w:t>
            </w:r>
          </w:p>
          <w:p w14:paraId="17CA8E78" w14:textId="004DB72D" w:rsidR="00AC2245" w:rsidRPr="00574CE2" w:rsidRDefault="00AC224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En groupe</w:t>
            </w:r>
          </w:p>
        </w:tc>
        <w:tc>
          <w:tcPr>
            <w:tcW w:w="3543" w:type="dxa"/>
            <w:vAlign w:val="center"/>
          </w:tcPr>
          <w:p w14:paraId="08307062" w14:textId="77777777" w:rsidR="003732C2" w:rsidRPr="00574CE2" w:rsidRDefault="00AC224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Accompagner l’utilisation d’Audacity/</w:t>
            </w:r>
            <w:proofErr w:type="spellStart"/>
            <w:r w:rsidRPr="00574CE2">
              <w:rPr>
                <w:sz w:val="20"/>
                <w:szCs w:val="20"/>
              </w:rPr>
              <w:t>phyphox</w:t>
            </w:r>
            <w:proofErr w:type="spellEnd"/>
          </w:p>
          <w:p w14:paraId="50C848D1" w14:textId="13878895" w:rsidR="00AC2245" w:rsidRPr="00574CE2" w:rsidRDefault="00AC2245" w:rsidP="00574CE2">
            <w:pPr>
              <w:ind w:left="40"/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Utilis</w:t>
            </w:r>
            <w:r w:rsidR="003A5730" w:rsidRPr="00574CE2">
              <w:rPr>
                <w:sz w:val="20"/>
                <w:szCs w:val="20"/>
              </w:rPr>
              <w:t xml:space="preserve">er un </w:t>
            </w:r>
            <w:r w:rsidRPr="00574CE2">
              <w:rPr>
                <w:sz w:val="20"/>
                <w:szCs w:val="20"/>
              </w:rPr>
              <w:t>vocabulaire spécifique pour la création du bilan</w:t>
            </w:r>
          </w:p>
        </w:tc>
        <w:tc>
          <w:tcPr>
            <w:tcW w:w="2694" w:type="dxa"/>
            <w:vAlign w:val="center"/>
          </w:tcPr>
          <w:p w14:paraId="4ACA4F17" w14:textId="10862DFF" w:rsidR="003732C2" w:rsidRPr="00574CE2" w:rsidRDefault="003732C2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Tablettes ou portables avec l’application (</w:t>
            </w:r>
            <w:proofErr w:type="spellStart"/>
            <w:r w:rsidRPr="00574CE2">
              <w:rPr>
                <w:sz w:val="20"/>
                <w:szCs w:val="20"/>
              </w:rPr>
              <w:t>phyphox</w:t>
            </w:r>
            <w:proofErr w:type="spellEnd"/>
            <w:r w:rsidRPr="00574CE2">
              <w:rPr>
                <w:sz w:val="20"/>
                <w:szCs w:val="20"/>
              </w:rPr>
              <w:t>, Audacity, GBF, Haut-parleur)</w:t>
            </w:r>
          </w:p>
        </w:tc>
      </w:tr>
      <w:tr w:rsidR="003732C2" w14:paraId="02D3C890" w14:textId="77777777" w:rsidTr="00B3349F">
        <w:trPr>
          <w:trHeight w:val="639"/>
        </w:trPr>
        <w:tc>
          <w:tcPr>
            <w:tcW w:w="2942" w:type="dxa"/>
            <w:vAlign w:val="center"/>
          </w:tcPr>
          <w:p w14:paraId="5BBE2C09" w14:textId="77FF160B" w:rsidR="003732C2" w:rsidRDefault="00373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Activité « </w:t>
            </w:r>
            <w:r w:rsidR="00C10463">
              <w:rPr>
                <w:sz w:val="20"/>
                <w:szCs w:val="20"/>
              </w:rPr>
              <w:t>Q</w:t>
            </w:r>
            <w:r>
              <w:rPr>
                <w:sz w:val="20"/>
                <w:szCs w:val="20"/>
              </w:rPr>
              <w:t>u’est-ce qu’un son</w:t>
            </w:r>
            <w:r w:rsidR="0092413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? »</w:t>
            </w:r>
          </w:p>
        </w:tc>
        <w:tc>
          <w:tcPr>
            <w:tcW w:w="932" w:type="dxa"/>
            <w:vAlign w:val="center"/>
          </w:tcPr>
          <w:p w14:paraId="29AC46A3" w14:textId="44C51441" w:rsidR="003732C2" w:rsidRPr="003A5730" w:rsidRDefault="00C10463">
            <w:pPr>
              <w:jc w:val="center"/>
              <w:rPr>
                <w:sz w:val="20"/>
                <w:szCs w:val="20"/>
              </w:rPr>
            </w:pPr>
            <w:r w:rsidRPr="003A5730">
              <w:rPr>
                <w:sz w:val="20"/>
                <w:szCs w:val="20"/>
              </w:rPr>
              <w:t>20</w:t>
            </w:r>
            <w:r w:rsidR="003732C2" w:rsidRPr="003A5730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2676" w:type="dxa"/>
            <w:vAlign w:val="center"/>
          </w:tcPr>
          <w:p w14:paraId="511EAE3C" w14:textId="6C02B229" w:rsidR="003732C2" w:rsidRPr="003A5730" w:rsidRDefault="008B4F05" w:rsidP="003A5730">
            <w:pPr>
              <w:rPr>
                <w:sz w:val="20"/>
                <w:szCs w:val="20"/>
              </w:rPr>
            </w:pPr>
            <w:r w:rsidRPr="003A5730">
              <w:rPr>
                <w:sz w:val="20"/>
                <w:szCs w:val="20"/>
              </w:rPr>
              <w:t>Accompagne</w:t>
            </w:r>
            <w:r w:rsidR="003A5730" w:rsidRPr="003A5730">
              <w:rPr>
                <w:sz w:val="20"/>
                <w:szCs w:val="20"/>
              </w:rPr>
              <w:t>r</w:t>
            </w:r>
            <w:r w:rsidRPr="003A5730">
              <w:rPr>
                <w:sz w:val="20"/>
                <w:szCs w:val="20"/>
              </w:rPr>
              <w:t xml:space="preserve"> l’utilisation des tablettes et récupération du QR code.</w:t>
            </w:r>
          </w:p>
        </w:tc>
        <w:tc>
          <w:tcPr>
            <w:tcW w:w="2977" w:type="dxa"/>
            <w:vAlign w:val="center"/>
          </w:tcPr>
          <w:p w14:paraId="57707645" w14:textId="77777777" w:rsidR="003732C2" w:rsidRPr="00574CE2" w:rsidRDefault="00AC224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Activité documentaire</w:t>
            </w:r>
          </w:p>
          <w:p w14:paraId="2378EEC6" w14:textId="77777777" w:rsidR="00AC2245" w:rsidRPr="00574CE2" w:rsidRDefault="00AC224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Seul, en groupe ou à la maison</w:t>
            </w:r>
          </w:p>
          <w:p w14:paraId="210F1787" w14:textId="17B62CDB" w:rsidR="00AC2245" w:rsidRPr="00574CE2" w:rsidRDefault="00AC224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Démarche de modélisation</w:t>
            </w:r>
          </w:p>
        </w:tc>
        <w:tc>
          <w:tcPr>
            <w:tcW w:w="3543" w:type="dxa"/>
            <w:vAlign w:val="center"/>
          </w:tcPr>
          <w:p w14:paraId="65DC07D7" w14:textId="77777777" w:rsidR="003732C2" w:rsidRPr="00574CE2" w:rsidRDefault="00AC224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Modélisation (prérequis partie Matière)</w:t>
            </w:r>
          </w:p>
          <w:p w14:paraId="5B0666D0" w14:textId="55702961" w:rsidR="00AC2245" w:rsidRPr="00574CE2" w:rsidRDefault="00AC2245" w:rsidP="00574CE2">
            <w:pPr>
              <w:ind w:left="40"/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Appréhension de la notion d’ondes et de vibration</w:t>
            </w:r>
          </w:p>
        </w:tc>
        <w:tc>
          <w:tcPr>
            <w:tcW w:w="2694" w:type="dxa"/>
            <w:vAlign w:val="center"/>
          </w:tcPr>
          <w:p w14:paraId="1FA3326D" w14:textId="7988894B" w:rsidR="003732C2" w:rsidRPr="00574CE2" w:rsidRDefault="003732C2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Tablettes</w:t>
            </w:r>
          </w:p>
        </w:tc>
      </w:tr>
      <w:tr w:rsidR="003732C2" w14:paraId="1A1FBBAA" w14:textId="77777777" w:rsidTr="00B3349F">
        <w:trPr>
          <w:trHeight w:val="639"/>
        </w:trPr>
        <w:tc>
          <w:tcPr>
            <w:tcW w:w="2942" w:type="dxa"/>
            <w:vAlign w:val="center"/>
          </w:tcPr>
          <w:p w14:paraId="11C1E18E" w14:textId="3DCEFB6D" w:rsidR="003732C2" w:rsidRDefault="00373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Activité « La valeur de la vitesse du son dans l’air est-elle la même que dans l’eau</w:t>
            </w:r>
            <w:r w:rsidR="0092413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?»</w:t>
            </w:r>
          </w:p>
        </w:tc>
        <w:tc>
          <w:tcPr>
            <w:tcW w:w="932" w:type="dxa"/>
            <w:vAlign w:val="center"/>
          </w:tcPr>
          <w:p w14:paraId="55F6C2A1" w14:textId="3325F447" w:rsidR="003732C2" w:rsidRPr="003A5730" w:rsidRDefault="00C10463">
            <w:pPr>
              <w:jc w:val="center"/>
              <w:rPr>
                <w:sz w:val="20"/>
                <w:szCs w:val="20"/>
              </w:rPr>
            </w:pPr>
            <w:r w:rsidRPr="003A5730">
              <w:rPr>
                <w:sz w:val="20"/>
                <w:szCs w:val="20"/>
              </w:rPr>
              <w:t>20</w:t>
            </w:r>
            <w:r w:rsidR="003732C2" w:rsidRPr="003A5730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2676" w:type="dxa"/>
            <w:vAlign w:val="center"/>
          </w:tcPr>
          <w:p w14:paraId="76957440" w14:textId="77777777" w:rsidR="003732C2" w:rsidRDefault="003732C2" w:rsidP="007317FF">
            <w:pPr>
              <w:ind w:left="152" w:hanging="142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9D63A63" w14:textId="77777777" w:rsidR="003732C2" w:rsidRPr="00574CE2" w:rsidRDefault="008B4F0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Activité documentaire</w:t>
            </w:r>
          </w:p>
          <w:p w14:paraId="0F49C42B" w14:textId="77777777" w:rsidR="008B4F05" w:rsidRPr="00574CE2" w:rsidRDefault="008B4F0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Individuel ou en groupe</w:t>
            </w:r>
          </w:p>
          <w:p w14:paraId="5E99AC51" w14:textId="7D4E3F1C" w:rsidR="008B4F05" w:rsidRPr="00574CE2" w:rsidRDefault="008B4F0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Histoire des sciences</w:t>
            </w:r>
          </w:p>
        </w:tc>
        <w:tc>
          <w:tcPr>
            <w:tcW w:w="3543" w:type="dxa"/>
            <w:vAlign w:val="center"/>
          </w:tcPr>
          <w:p w14:paraId="6C4206BE" w14:textId="77777777" w:rsidR="003732C2" w:rsidRPr="00574CE2" w:rsidRDefault="008B4F0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Conversions</w:t>
            </w:r>
          </w:p>
          <w:p w14:paraId="48747D03" w14:textId="4A5A8E7E" w:rsidR="008B4F05" w:rsidRPr="00574CE2" w:rsidRDefault="008B4F0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Ordre de grandeurs vitesses</w:t>
            </w:r>
          </w:p>
        </w:tc>
        <w:tc>
          <w:tcPr>
            <w:tcW w:w="2694" w:type="dxa"/>
            <w:vAlign w:val="center"/>
          </w:tcPr>
          <w:p w14:paraId="37ECB0E9" w14:textId="66C42442" w:rsidR="003732C2" w:rsidRPr="00574CE2" w:rsidRDefault="008B4F05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Calculatrice</w:t>
            </w:r>
          </w:p>
        </w:tc>
      </w:tr>
      <w:tr w:rsidR="003732C2" w14:paraId="4A0B42A9" w14:textId="77777777" w:rsidTr="00B3349F">
        <w:trPr>
          <w:trHeight w:val="639"/>
        </w:trPr>
        <w:tc>
          <w:tcPr>
            <w:tcW w:w="2942" w:type="dxa"/>
            <w:vAlign w:val="center"/>
          </w:tcPr>
          <w:p w14:paraId="4E6F3A47" w14:textId="659ABF53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Activité « A quelle distance se trouve la falaise</w:t>
            </w:r>
            <w:r w:rsidR="0092413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? »</w:t>
            </w:r>
          </w:p>
        </w:tc>
        <w:tc>
          <w:tcPr>
            <w:tcW w:w="932" w:type="dxa"/>
            <w:vAlign w:val="center"/>
          </w:tcPr>
          <w:p w14:paraId="1C1BA79D" w14:textId="77777777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min</w:t>
            </w:r>
          </w:p>
        </w:tc>
        <w:tc>
          <w:tcPr>
            <w:tcW w:w="2676" w:type="dxa"/>
            <w:vAlign w:val="center"/>
          </w:tcPr>
          <w:p w14:paraId="6BF9E223" w14:textId="15888AE4" w:rsidR="003732C2" w:rsidRPr="003A5730" w:rsidRDefault="000514AC" w:rsidP="003A5730">
            <w:pPr>
              <w:rPr>
                <w:sz w:val="20"/>
                <w:szCs w:val="20"/>
              </w:rPr>
            </w:pPr>
            <w:r w:rsidRPr="003A5730">
              <w:rPr>
                <w:sz w:val="20"/>
                <w:szCs w:val="20"/>
              </w:rPr>
              <w:t>Propose</w:t>
            </w:r>
            <w:r w:rsidR="00C10463" w:rsidRPr="003A5730">
              <w:rPr>
                <w:sz w:val="20"/>
                <w:szCs w:val="20"/>
              </w:rPr>
              <w:t>r</w:t>
            </w:r>
            <w:r w:rsidRPr="003A5730">
              <w:rPr>
                <w:sz w:val="20"/>
                <w:szCs w:val="20"/>
              </w:rPr>
              <w:t xml:space="preserve"> les coups de pouce aux élèves en difficulté</w:t>
            </w:r>
            <w:r w:rsidR="00574CE2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14:paraId="104E87F0" w14:textId="77777777" w:rsidR="003732C2" w:rsidRPr="00574CE2" w:rsidRDefault="00BE7BAF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En groupe</w:t>
            </w:r>
          </w:p>
          <w:p w14:paraId="6C654A14" w14:textId="547E2BBE" w:rsidR="00BE7BAF" w:rsidRPr="00BE7BAF" w:rsidRDefault="00BE7BAF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Tâche complexe</w:t>
            </w:r>
          </w:p>
        </w:tc>
        <w:tc>
          <w:tcPr>
            <w:tcW w:w="3543" w:type="dxa"/>
            <w:vAlign w:val="center"/>
          </w:tcPr>
          <w:p w14:paraId="63C77FA7" w14:textId="77777777" w:rsidR="003732C2" w:rsidRPr="00574CE2" w:rsidRDefault="000514AC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Proportionnalité distance-temps</w:t>
            </w:r>
          </w:p>
          <w:p w14:paraId="5F89CB3D" w14:textId="77777777" w:rsidR="000514AC" w:rsidRPr="00574CE2" w:rsidRDefault="000514AC" w:rsidP="00574CE2">
            <w:pPr>
              <w:ind w:left="40"/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Inciter les élèves à utiliser le graphique</w:t>
            </w:r>
          </w:p>
          <w:p w14:paraId="04D7DABA" w14:textId="429D5DA6" w:rsidR="000514AC" w:rsidRPr="00574CE2" w:rsidRDefault="000514AC" w:rsidP="00574CE2">
            <w:pPr>
              <w:ind w:left="40"/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Schéma de la situation, prise en compte de l’aller-retour</w:t>
            </w:r>
          </w:p>
        </w:tc>
        <w:tc>
          <w:tcPr>
            <w:tcW w:w="2694" w:type="dxa"/>
            <w:vAlign w:val="center"/>
          </w:tcPr>
          <w:p w14:paraId="6C169AAD" w14:textId="77777777" w:rsidR="003732C2" w:rsidRPr="00574CE2" w:rsidRDefault="00BE7BAF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Documents</w:t>
            </w:r>
          </w:p>
          <w:p w14:paraId="67EED5FA" w14:textId="5B212F6E" w:rsidR="00BE7BAF" w:rsidRPr="00574CE2" w:rsidRDefault="00BE7BAF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Calculatrice</w:t>
            </w:r>
          </w:p>
        </w:tc>
      </w:tr>
      <w:tr w:rsidR="003732C2" w14:paraId="5CB700E2" w14:textId="77777777" w:rsidTr="00B3349F">
        <w:trPr>
          <w:trHeight w:val="639"/>
        </w:trPr>
        <w:tc>
          <w:tcPr>
            <w:tcW w:w="2942" w:type="dxa"/>
            <w:vAlign w:val="center"/>
          </w:tcPr>
          <w:p w14:paraId="2D0922E4" w14:textId="3B791569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Activité « Et si on vérifiait la mesure de la vitesse du son réalisée par l’Abbé de la Caille</w:t>
            </w:r>
            <w:r w:rsidR="0092413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? »</w:t>
            </w:r>
          </w:p>
        </w:tc>
        <w:tc>
          <w:tcPr>
            <w:tcW w:w="932" w:type="dxa"/>
            <w:vAlign w:val="center"/>
          </w:tcPr>
          <w:p w14:paraId="528C41F8" w14:textId="77777777" w:rsidR="003732C2" w:rsidRDefault="00373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min</w:t>
            </w:r>
          </w:p>
        </w:tc>
        <w:tc>
          <w:tcPr>
            <w:tcW w:w="2676" w:type="dxa"/>
            <w:vAlign w:val="center"/>
          </w:tcPr>
          <w:p w14:paraId="69CBA953" w14:textId="03505E1E" w:rsidR="003732C2" w:rsidRPr="003A5730" w:rsidRDefault="00924131" w:rsidP="003A5730">
            <w:pPr>
              <w:rPr>
                <w:sz w:val="20"/>
                <w:szCs w:val="20"/>
              </w:rPr>
            </w:pPr>
            <w:r w:rsidRPr="003A5730">
              <w:rPr>
                <w:sz w:val="20"/>
                <w:szCs w:val="20"/>
              </w:rPr>
              <w:t>Contrôle</w:t>
            </w:r>
            <w:r w:rsidR="00C10463" w:rsidRPr="003A5730">
              <w:rPr>
                <w:sz w:val="20"/>
                <w:szCs w:val="20"/>
              </w:rPr>
              <w:t>r</w:t>
            </w:r>
            <w:r w:rsidRPr="003A5730">
              <w:rPr>
                <w:sz w:val="20"/>
                <w:szCs w:val="20"/>
              </w:rPr>
              <w:t xml:space="preserve"> l’utilisation du matériel.</w:t>
            </w:r>
          </w:p>
        </w:tc>
        <w:tc>
          <w:tcPr>
            <w:tcW w:w="2977" w:type="dxa"/>
            <w:vAlign w:val="center"/>
          </w:tcPr>
          <w:p w14:paraId="1E76C035" w14:textId="77777777" w:rsidR="003732C2" w:rsidRPr="00574CE2" w:rsidRDefault="00924131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En groupe</w:t>
            </w:r>
          </w:p>
          <w:p w14:paraId="452BB403" w14:textId="076101FA" w:rsidR="00924131" w:rsidRPr="00924131" w:rsidRDefault="00924131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Activité expérimentale</w:t>
            </w:r>
          </w:p>
        </w:tc>
        <w:tc>
          <w:tcPr>
            <w:tcW w:w="3543" w:type="dxa"/>
            <w:vAlign w:val="center"/>
          </w:tcPr>
          <w:p w14:paraId="213759A4" w14:textId="77777777" w:rsidR="003732C2" w:rsidRPr="00574CE2" w:rsidRDefault="00924131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Gestion du nombre de postes de manipulation</w:t>
            </w:r>
          </w:p>
          <w:p w14:paraId="38A5AF48" w14:textId="4F1C0D68" w:rsidR="00924131" w:rsidRPr="00574CE2" w:rsidRDefault="00924131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Utilisation du capteur / acquisition</w:t>
            </w:r>
          </w:p>
        </w:tc>
        <w:tc>
          <w:tcPr>
            <w:tcW w:w="2694" w:type="dxa"/>
            <w:vAlign w:val="center"/>
          </w:tcPr>
          <w:p w14:paraId="47422EFA" w14:textId="77777777" w:rsidR="003732C2" w:rsidRDefault="003732C2">
            <w:pPr>
              <w:jc w:val="center"/>
              <w:rPr>
                <w:sz w:val="20"/>
                <w:szCs w:val="20"/>
              </w:rPr>
            </w:pPr>
          </w:p>
        </w:tc>
      </w:tr>
      <w:tr w:rsidR="000514AC" w14:paraId="49F24216" w14:textId="77777777" w:rsidTr="00B3349F">
        <w:trPr>
          <w:trHeight w:val="639"/>
        </w:trPr>
        <w:tc>
          <w:tcPr>
            <w:tcW w:w="2942" w:type="dxa"/>
            <w:vAlign w:val="center"/>
          </w:tcPr>
          <w:p w14:paraId="669950CA" w14:textId="62E70147" w:rsidR="000514AC" w:rsidRPr="001B47CE" w:rsidRDefault="009241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Tâche finale - Poster</w:t>
            </w:r>
          </w:p>
        </w:tc>
        <w:tc>
          <w:tcPr>
            <w:tcW w:w="932" w:type="dxa"/>
            <w:vAlign w:val="center"/>
          </w:tcPr>
          <w:p w14:paraId="22BD47CD" w14:textId="0DCF5129" w:rsidR="000514AC" w:rsidRPr="001B47CE" w:rsidRDefault="009241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min</w:t>
            </w:r>
          </w:p>
        </w:tc>
        <w:tc>
          <w:tcPr>
            <w:tcW w:w="2676" w:type="dxa"/>
            <w:vAlign w:val="center"/>
          </w:tcPr>
          <w:p w14:paraId="527844F6" w14:textId="3244F883" w:rsidR="001B47CE" w:rsidRPr="003A5730" w:rsidRDefault="00110D88" w:rsidP="003A5730">
            <w:pPr>
              <w:rPr>
                <w:sz w:val="20"/>
                <w:szCs w:val="20"/>
              </w:rPr>
            </w:pPr>
            <w:r w:rsidRPr="003A5730">
              <w:rPr>
                <w:sz w:val="20"/>
                <w:szCs w:val="20"/>
              </w:rPr>
              <w:t xml:space="preserve">Proposer des pistes aux élèves (sonar, échographie, radar de recul, </w:t>
            </w:r>
            <w:r w:rsidR="00085640" w:rsidRPr="003A5730">
              <w:rPr>
                <w:sz w:val="20"/>
                <w:szCs w:val="20"/>
              </w:rPr>
              <w:t xml:space="preserve">chauve-souris, </w:t>
            </w:r>
            <w:r w:rsidR="00C10463" w:rsidRPr="003A5730">
              <w:rPr>
                <w:sz w:val="20"/>
                <w:szCs w:val="20"/>
              </w:rPr>
              <w:t>télémètre</w:t>
            </w:r>
            <w:r w:rsidR="00085640" w:rsidRPr="003A5730">
              <w:rPr>
                <w:sz w:val="20"/>
                <w:szCs w:val="20"/>
              </w:rPr>
              <w:t>, répulsif animaux)</w:t>
            </w:r>
            <w:r w:rsidR="00574CE2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14:paraId="1530A3BA" w14:textId="77777777" w:rsidR="00BE7BAF" w:rsidRPr="00574CE2" w:rsidRDefault="00110D88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En groupe</w:t>
            </w:r>
          </w:p>
          <w:p w14:paraId="6AFA61C3" w14:textId="3F18097F" w:rsidR="00110D88" w:rsidRPr="00BE7BAF" w:rsidRDefault="00110D88" w:rsidP="00110D88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22857239" w14:textId="30DAC84F" w:rsidR="00BE7BAF" w:rsidRPr="00BE7BAF" w:rsidRDefault="00BE7BAF" w:rsidP="007317FF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747BBC43" w14:textId="57122865" w:rsidR="000514AC" w:rsidRPr="00574CE2" w:rsidRDefault="00C66B2C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Ordinateur</w:t>
            </w:r>
            <w:r w:rsidR="007317FF" w:rsidRPr="00574CE2">
              <w:rPr>
                <w:sz w:val="20"/>
                <w:szCs w:val="20"/>
              </w:rPr>
              <w:t xml:space="preserve"> </w:t>
            </w:r>
            <w:r w:rsidRPr="00574CE2">
              <w:rPr>
                <w:sz w:val="20"/>
                <w:szCs w:val="20"/>
              </w:rPr>
              <w:t>+</w:t>
            </w:r>
            <w:r w:rsidR="007317FF" w:rsidRPr="00574CE2">
              <w:rPr>
                <w:sz w:val="20"/>
                <w:szCs w:val="20"/>
              </w:rPr>
              <w:t xml:space="preserve"> </w:t>
            </w:r>
            <w:r w:rsidRPr="00574CE2">
              <w:rPr>
                <w:sz w:val="20"/>
                <w:szCs w:val="20"/>
              </w:rPr>
              <w:t>internet</w:t>
            </w:r>
          </w:p>
        </w:tc>
      </w:tr>
      <w:tr w:rsidR="00924131" w14:paraId="2B0A67EA" w14:textId="77777777" w:rsidTr="003A5730">
        <w:trPr>
          <w:trHeight w:val="639"/>
        </w:trPr>
        <w:tc>
          <w:tcPr>
            <w:tcW w:w="2942" w:type="dxa"/>
            <w:vAlign w:val="center"/>
          </w:tcPr>
          <w:p w14:paraId="73A9C965" w14:textId="2AC12B14" w:rsidR="00924131" w:rsidRPr="000514AC" w:rsidRDefault="00924131" w:rsidP="00924131">
            <w:pPr>
              <w:jc w:val="center"/>
              <w:rPr>
                <w:sz w:val="20"/>
                <w:szCs w:val="20"/>
                <w:highlight w:val="yellow"/>
              </w:rPr>
            </w:pPr>
            <w:r w:rsidRPr="001B47CE">
              <w:rPr>
                <w:sz w:val="20"/>
                <w:szCs w:val="20"/>
              </w:rPr>
              <w:t>Evaluation – Le radar de recul</w:t>
            </w:r>
          </w:p>
        </w:tc>
        <w:tc>
          <w:tcPr>
            <w:tcW w:w="932" w:type="dxa"/>
            <w:vAlign w:val="center"/>
          </w:tcPr>
          <w:p w14:paraId="53A02C17" w14:textId="46A90591" w:rsidR="00924131" w:rsidRPr="000514AC" w:rsidRDefault="00924131" w:rsidP="00924131">
            <w:pPr>
              <w:jc w:val="center"/>
              <w:rPr>
                <w:sz w:val="20"/>
                <w:szCs w:val="20"/>
                <w:highlight w:val="yellow"/>
              </w:rPr>
            </w:pPr>
            <w:r w:rsidRPr="001B47CE">
              <w:rPr>
                <w:sz w:val="20"/>
                <w:szCs w:val="20"/>
              </w:rPr>
              <w:t>1</w:t>
            </w:r>
            <w:r w:rsidR="00C10463">
              <w:rPr>
                <w:sz w:val="20"/>
                <w:szCs w:val="20"/>
              </w:rPr>
              <w:t xml:space="preserve"> </w:t>
            </w:r>
            <w:r w:rsidRPr="001B47CE">
              <w:rPr>
                <w:sz w:val="20"/>
                <w:szCs w:val="20"/>
              </w:rPr>
              <w:t>h</w:t>
            </w:r>
          </w:p>
        </w:tc>
        <w:tc>
          <w:tcPr>
            <w:tcW w:w="2676" w:type="dxa"/>
            <w:vAlign w:val="center"/>
          </w:tcPr>
          <w:p w14:paraId="121336AC" w14:textId="2F958127" w:rsidR="00574CE2" w:rsidRDefault="003A5730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 xml:space="preserve">Choisir de </w:t>
            </w:r>
            <w:r w:rsidR="00924131" w:rsidRPr="00574CE2">
              <w:rPr>
                <w:sz w:val="20"/>
                <w:szCs w:val="20"/>
              </w:rPr>
              <w:t>différencier l’évaluation.</w:t>
            </w:r>
          </w:p>
          <w:p w14:paraId="184CFA6D" w14:textId="1AFE8F76" w:rsidR="00924131" w:rsidRPr="00574CE2" w:rsidRDefault="00574CE2" w:rsidP="00574CE2">
            <w:pPr>
              <w:rPr>
                <w:sz w:val="20"/>
                <w:szCs w:val="20"/>
                <w:highlight w:val="yellow"/>
              </w:rPr>
            </w:pPr>
            <w:r w:rsidRPr="00574CE2">
              <w:rPr>
                <w:sz w:val="20"/>
                <w:szCs w:val="20"/>
              </w:rPr>
              <w:t>A</w:t>
            </w:r>
            <w:r w:rsidR="00924131" w:rsidRPr="00574CE2">
              <w:rPr>
                <w:sz w:val="20"/>
                <w:szCs w:val="20"/>
              </w:rPr>
              <w:t>ppor</w:t>
            </w:r>
            <w:r w:rsidR="003A5730" w:rsidRPr="00574CE2">
              <w:rPr>
                <w:sz w:val="20"/>
                <w:szCs w:val="20"/>
              </w:rPr>
              <w:t>ter u</w:t>
            </w:r>
            <w:r w:rsidR="00924131" w:rsidRPr="00574CE2">
              <w:rPr>
                <w:sz w:val="20"/>
                <w:szCs w:val="20"/>
              </w:rPr>
              <w:t xml:space="preserve">n étayage </w:t>
            </w:r>
            <w:r w:rsidR="003A5730" w:rsidRPr="00574CE2">
              <w:rPr>
                <w:sz w:val="20"/>
                <w:szCs w:val="20"/>
              </w:rPr>
              <w:t xml:space="preserve">avec </w:t>
            </w:r>
            <w:r w:rsidR="00924131" w:rsidRPr="00574CE2">
              <w:rPr>
                <w:sz w:val="20"/>
                <w:szCs w:val="20"/>
              </w:rPr>
              <w:t xml:space="preserve">Ex1 </w:t>
            </w:r>
            <w:r w:rsidR="003A5730" w:rsidRPr="00574CE2">
              <w:rPr>
                <w:sz w:val="20"/>
                <w:szCs w:val="20"/>
              </w:rPr>
              <w:t xml:space="preserve">et </w:t>
            </w:r>
            <w:r w:rsidR="00924131" w:rsidRPr="00574CE2">
              <w:rPr>
                <w:sz w:val="20"/>
                <w:szCs w:val="20"/>
              </w:rPr>
              <w:t>Ex2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9B82B4E" w14:textId="77777777" w:rsidR="00574CE2" w:rsidRPr="00574CE2" w:rsidRDefault="003A5730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Dur</w:t>
            </w:r>
            <w:r w:rsidR="00574CE2" w:rsidRPr="00574CE2">
              <w:rPr>
                <w:sz w:val="20"/>
                <w:szCs w:val="20"/>
              </w:rPr>
              <w:t>a</w:t>
            </w:r>
            <w:r w:rsidRPr="00574CE2">
              <w:rPr>
                <w:sz w:val="20"/>
                <w:szCs w:val="20"/>
              </w:rPr>
              <w:t xml:space="preserve">nt 10 minutes, appropriation </w:t>
            </w:r>
            <w:r w:rsidR="00924131" w:rsidRPr="00574CE2">
              <w:rPr>
                <w:sz w:val="20"/>
                <w:szCs w:val="20"/>
              </w:rPr>
              <w:t>des docs 1 et 2 de l’exercice 1</w:t>
            </w:r>
            <w:r w:rsidRPr="00574CE2">
              <w:rPr>
                <w:sz w:val="20"/>
                <w:szCs w:val="20"/>
              </w:rPr>
              <w:t xml:space="preserve"> par groupe de deux</w:t>
            </w:r>
            <w:r w:rsidR="00574CE2" w:rsidRPr="00574CE2">
              <w:rPr>
                <w:sz w:val="20"/>
                <w:szCs w:val="20"/>
              </w:rPr>
              <w:t xml:space="preserve">. </w:t>
            </w:r>
          </w:p>
          <w:p w14:paraId="5C2FE051" w14:textId="1531FCB3" w:rsidR="00924131" w:rsidRPr="00574CE2" w:rsidRDefault="00574CE2" w:rsidP="00574CE2">
            <w:pPr>
              <w:rPr>
                <w:sz w:val="20"/>
                <w:szCs w:val="20"/>
                <w:highlight w:val="yellow"/>
              </w:rPr>
            </w:pPr>
            <w:r w:rsidRPr="00574CE2">
              <w:rPr>
                <w:sz w:val="20"/>
                <w:szCs w:val="20"/>
              </w:rPr>
              <w:t>Puis, i</w:t>
            </w:r>
            <w:r w:rsidR="00924131" w:rsidRPr="00574CE2">
              <w:rPr>
                <w:sz w:val="20"/>
                <w:szCs w:val="20"/>
              </w:rPr>
              <w:t>ndividuellement, résolution de la suite de l’évaluation</w:t>
            </w:r>
          </w:p>
        </w:tc>
        <w:tc>
          <w:tcPr>
            <w:tcW w:w="3543" w:type="dxa"/>
            <w:vAlign w:val="center"/>
          </w:tcPr>
          <w:p w14:paraId="20BC757D" w14:textId="1D35A0A6" w:rsidR="00924131" w:rsidRPr="00574CE2" w:rsidRDefault="00924131" w:rsidP="00574CE2">
            <w:pPr>
              <w:rPr>
                <w:sz w:val="20"/>
                <w:szCs w:val="20"/>
              </w:rPr>
            </w:pPr>
            <w:r w:rsidRPr="00574CE2">
              <w:rPr>
                <w:sz w:val="20"/>
                <w:szCs w:val="20"/>
              </w:rPr>
              <w:t>Ex 1 : maîtrise du passage v=d/t à t=d/v</w:t>
            </w:r>
          </w:p>
          <w:p w14:paraId="4562F311" w14:textId="77777777" w:rsidR="00574CE2" w:rsidRDefault="00574CE2" w:rsidP="00574CE2">
            <w:pPr>
              <w:pStyle w:val="Paragraphedeliste"/>
              <w:ind w:left="182"/>
              <w:rPr>
                <w:sz w:val="20"/>
                <w:szCs w:val="20"/>
              </w:rPr>
            </w:pPr>
          </w:p>
          <w:p w14:paraId="05928A24" w14:textId="2EFD4593" w:rsidR="00924131" w:rsidRPr="00574CE2" w:rsidRDefault="00924131" w:rsidP="00574CE2">
            <w:pPr>
              <w:rPr>
                <w:sz w:val="20"/>
                <w:szCs w:val="20"/>
                <w:highlight w:val="yellow"/>
              </w:rPr>
            </w:pPr>
            <w:r w:rsidRPr="00574CE2">
              <w:rPr>
                <w:sz w:val="20"/>
                <w:szCs w:val="20"/>
              </w:rPr>
              <w:t xml:space="preserve">Ex 3 : </w:t>
            </w:r>
            <w:r w:rsidR="00574CE2" w:rsidRPr="00574CE2">
              <w:rPr>
                <w:sz w:val="20"/>
                <w:szCs w:val="20"/>
              </w:rPr>
              <w:t>g</w:t>
            </w:r>
            <w:r w:rsidRPr="00574CE2">
              <w:rPr>
                <w:sz w:val="20"/>
                <w:szCs w:val="20"/>
              </w:rPr>
              <w:t>raphique complexe à appréhender</w:t>
            </w:r>
          </w:p>
        </w:tc>
        <w:tc>
          <w:tcPr>
            <w:tcW w:w="2694" w:type="dxa"/>
            <w:vAlign w:val="center"/>
          </w:tcPr>
          <w:p w14:paraId="61CA492A" w14:textId="463A501B" w:rsidR="00924131" w:rsidRPr="000514AC" w:rsidRDefault="00924131" w:rsidP="0092413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14:paraId="4472AB3F" w14:textId="77777777" w:rsidR="00122E0A" w:rsidRDefault="00122E0A" w:rsidP="00912129">
      <w:pPr>
        <w:rPr>
          <w:sz w:val="20"/>
          <w:szCs w:val="20"/>
        </w:rPr>
      </w:pPr>
    </w:p>
    <w:sectPr w:rsidR="00122E0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5B0F6" w14:textId="77777777" w:rsidR="008E0AC5" w:rsidRDefault="008E0AC5">
      <w:pPr>
        <w:spacing w:after="0" w:line="240" w:lineRule="auto"/>
      </w:pPr>
      <w:r>
        <w:separator/>
      </w:r>
    </w:p>
  </w:endnote>
  <w:endnote w:type="continuationSeparator" w:id="0">
    <w:p w14:paraId="5FC18F25" w14:textId="77777777" w:rsidR="008E0AC5" w:rsidRDefault="008E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A3F66" w14:textId="77777777" w:rsidR="008E0AC5" w:rsidRDefault="008E0AC5">
      <w:pPr>
        <w:spacing w:after="0" w:line="240" w:lineRule="auto"/>
      </w:pPr>
      <w:r>
        <w:separator/>
      </w:r>
    </w:p>
  </w:footnote>
  <w:footnote w:type="continuationSeparator" w:id="0">
    <w:p w14:paraId="5DEE80E8" w14:textId="77777777" w:rsidR="008E0AC5" w:rsidRDefault="008E0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0BBA"/>
    <w:multiLevelType w:val="hybridMultilevel"/>
    <w:tmpl w:val="3CC23CD8"/>
    <w:lvl w:ilvl="0" w:tplc="B44443A4">
      <w:start w:val="1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71BE17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3CF2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78B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48E4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F6CA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20CD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C2EF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785B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D1303"/>
    <w:multiLevelType w:val="hybridMultilevel"/>
    <w:tmpl w:val="42063F40"/>
    <w:lvl w:ilvl="0" w:tplc="A44C61CC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155C3"/>
    <w:multiLevelType w:val="hybridMultilevel"/>
    <w:tmpl w:val="9F48FE60"/>
    <w:lvl w:ilvl="0" w:tplc="E4F677F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46DCD"/>
    <w:multiLevelType w:val="hybridMultilevel"/>
    <w:tmpl w:val="ED36C098"/>
    <w:lvl w:ilvl="0" w:tplc="EE56ECB8">
      <w:start w:val="20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F5211"/>
    <w:multiLevelType w:val="hybridMultilevel"/>
    <w:tmpl w:val="3CCCE0B2"/>
    <w:lvl w:ilvl="0" w:tplc="A14ECC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7A094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0CF8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F81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211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4F5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1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6F2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CEF3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21E7E"/>
    <w:multiLevelType w:val="hybridMultilevel"/>
    <w:tmpl w:val="F49CC7A8"/>
    <w:lvl w:ilvl="0" w:tplc="6F30EFFA">
      <w:start w:val="1"/>
      <w:numFmt w:val="bullet"/>
      <w:lvlText w:val="-"/>
      <w:lvlJc w:val="left"/>
      <w:pPr>
        <w:ind w:left="720" w:hanging="360"/>
      </w:pPr>
      <w:rPr>
        <w:rFonts w:ascii="Cambria Math" w:eastAsia="Times New Roman" w:hAnsi="Cambria Math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E0A"/>
    <w:rsid w:val="00035FE5"/>
    <w:rsid w:val="000514AC"/>
    <w:rsid w:val="00054689"/>
    <w:rsid w:val="00085640"/>
    <w:rsid w:val="00110D88"/>
    <w:rsid w:val="00122E0A"/>
    <w:rsid w:val="0017544C"/>
    <w:rsid w:val="001B47CE"/>
    <w:rsid w:val="001F3FDA"/>
    <w:rsid w:val="002A42D7"/>
    <w:rsid w:val="002B3410"/>
    <w:rsid w:val="003732C2"/>
    <w:rsid w:val="003A5730"/>
    <w:rsid w:val="004332C3"/>
    <w:rsid w:val="00574CE2"/>
    <w:rsid w:val="00682A2E"/>
    <w:rsid w:val="006F29B9"/>
    <w:rsid w:val="00706ECF"/>
    <w:rsid w:val="007317FF"/>
    <w:rsid w:val="00745A0B"/>
    <w:rsid w:val="00792345"/>
    <w:rsid w:val="0085673C"/>
    <w:rsid w:val="008652B2"/>
    <w:rsid w:val="008B4F05"/>
    <w:rsid w:val="008D5247"/>
    <w:rsid w:val="008E0AC5"/>
    <w:rsid w:val="00912129"/>
    <w:rsid w:val="00924131"/>
    <w:rsid w:val="0097311E"/>
    <w:rsid w:val="00995663"/>
    <w:rsid w:val="009E7F94"/>
    <w:rsid w:val="00A5171A"/>
    <w:rsid w:val="00AC2245"/>
    <w:rsid w:val="00AF12E8"/>
    <w:rsid w:val="00B0701F"/>
    <w:rsid w:val="00B3349F"/>
    <w:rsid w:val="00BE7BAF"/>
    <w:rsid w:val="00C10463"/>
    <w:rsid w:val="00C66B2C"/>
    <w:rsid w:val="00EC79AF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99D5"/>
  <w15:docId w15:val="{F2150269-9866-47BA-A116-3D16EEA2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Style1">
    <w:name w:val="Style1"/>
    <w:basedOn w:val="Normal"/>
    <w:link w:val="Style1Car"/>
    <w:qFormat/>
    <w:rPr>
      <w:sz w:val="24"/>
      <w:szCs w:val="24"/>
      <w:u w:val="single"/>
    </w:rPr>
  </w:style>
  <w:style w:type="character" w:customStyle="1" w:styleId="Style1Car">
    <w:name w:val="Style1 Car"/>
    <w:basedOn w:val="Policepardfaut"/>
    <w:link w:val="Style1"/>
    <w:rPr>
      <w:sz w:val="24"/>
      <w:szCs w:val="24"/>
      <w:u w:val="single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A95C6AF33EA45B0DCDAF7FA526E6A" ma:contentTypeVersion="2" ma:contentTypeDescription="Crée un document." ma:contentTypeScope="" ma:versionID="79d96e14d9d510ea099059489fc0740e">
  <xsd:schema xmlns:xsd="http://www.w3.org/2001/XMLSchema" xmlns:xs="http://www.w3.org/2001/XMLSchema" xmlns:p="http://schemas.microsoft.com/office/2006/metadata/properties" xmlns:ns2="72584a2e-068b-4dba-a5f4-fe3dc4dcc665" targetNamespace="http://schemas.microsoft.com/office/2006/metadata/properties" ma:root="true" ma:fieldsID="21684a0b21c2f997743da433b7152a89" ns2:_="">
    <xsd:import namespace="72584a2e-068b-4dba-a5f4-fe3dc4dcc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84a2e-068b-4dba-a5f4-fe3dc4dcc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E80FC-E8CD-4662-A31A-C264F66B87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D6C42-6AE8-44C8-AE9B-4C37C911E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84a2e-068b-4dba-a5f4-fe3dc4dcc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3EEEEA-260A-42C3-9E30-4A953985B8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752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Lissillour Bertrand</cp:lastModifiedBy>
  <cp:revision>3</cp:revision>
  <dcterms:created xsi:type="dcterms:W3CDTF">2022-09-12T14:26:00Z</dcterms:created>
  <dcterms:modified xsi:type="dcterms:W3CDTF">2022-09-12T14:51:00Z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0x010100878A95C6AF33EA45B0DCDAF7FA526E6A</vt:lpwstr>
  </property>
</Properties>
</file>